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05.04.2019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</w:t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1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Ярощук Олександр Васильович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керівника)</w:t>
            </w:r>
          </w:p>
        </w:tc>
      </w:tr>
    </w:tbl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"Переяславський експерементальний комбінат хлібопродуктів"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08420 село Переяславське, вулиця Привокзальна, 2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00951787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0456728167, 0456728167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vatpekx@emitents.net.ua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</w:t>
      </w:r>
      <w:r>
        <w:rPr>
          <w:rFonts w:ascii="Times New Roman CYR" w:hAnsi="Times New Roman CYR" w:cs="Times New Roman CYR"/>
          <w:sz w:val="24"/>
          <w:szCs w:val="24"/>
        </w:rPr>
        <w:t>особи, яка здійснює оприлюднення регульованої інформації від імені учасника фондового ринку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804, DR/00001/APA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(Повідомлення про інформацію) 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2200"/>
        <w:gridCol w:w="33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http://www.pekhp.com.ua/load/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05.04.2019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(адреса сторінки)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1400" w:header="720" w:footer="720" w:gutter="0"/>
          <w:cols w:space="720"/>
          <w:noEndnote/>
        </w:sectPr>
      </w:pP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прийняття рішення про попереднє надання згоди на вчинення значних правочинів</w:t>
      </w:r>
    </w:p>
    <w:p w:rsidR="00000000" w:rsidRDefault="006E7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300"/>
        <w:gridCol w:w="2500"/>
        <w:gridCol w:w="2500"/>
        <w:gridCol w:w="3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Гранична сукупна вартість правочинів (тис.грн)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звітності (тис.грн)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Спів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відношення граничної сукупної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04.04.2019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96 218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519,65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прийняття рiшення про попереднє надання згоди на вчинення значних правочинiв: 04.04.2019 р. Найменування уповноваженого органу, що його прийняв: Рiчнi загальнi збори акцiонерiв ПрАТ «Переяславський ЕКХП» (Протокол №1 вiд 04.04.2019 р.). Вiдомостi щодо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правочинiв iз зазначенням, зокрема, їх характеру: правочин на iпотеку та на передачу заставного майна; залучення кредитних коштiв та реалiзацiї планiв для здiйснення господарської дiяльностi Товариства; укладення договорiв купiвлi-продажу основних засобiв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(обладнання) пов`язаних з реалiзацiєю перспективних планiв Товариства; укладення договорiв поруки.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Гранична сукупнiсть вартостi правочинiв: 500 000 тис. грн.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Вартiсть активiв емiтента за даними останньої рiчної фiнансової звiтностi: 96 218 тис. грн. 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Спiввiдношення граничної сукупностi вартостi правочинiв до вартостi активiв емiтента за даними останньої рiчної фiнансової звiтностi (у вiдсотках): 519,65 %. 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Загальна кiлькiсть голосуючих акцiй: 90 633 174 шт. 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Кiлькiсть голосуючих акцiй, що зареєстрованi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участi у загальних зборах: 90 534 101 шт.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Кiлькiсть голосуючих акцiй, що проголосували "за" прийняття рiшення: 90 534 101 шт. </w:t>
            </w:r>
          </w:p>
          <w:p w:rsidR="00000000" w:rsidRDefault="006E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Кiлькiсть голосуючих акцiй, що проголосували "проти" прийняття рiшення: 0 шт.</w:t>
            </w:r>
          </w:p>
        </w:tc>
      </w:tr>
    </w:tbl>
    <w:p w:rsidR="006E7D32" w:rsidRDefault="006E7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6E7D32">
      <w:pgSz w:w="12240" w:h="15840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6D"/>
    <w:rsid w:val="003645E8"/>
    <w:rsid w:val="006E7D32"/>
    <w:rsid w:val="008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31FD7D-B192-453A-A547-B81441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Lena_5.10</dc:creator>
  <cp:keywords/>
  <dc:description/>
  <cp:lastModifiedBy>Lena_5.10</cp:lastModifiedBy>
  <cp:revision>2</cp:revision>
  <dcterms:created xsi:type="dcterms:W3CDTF">2019-04-05T10:08:00Z</dcterms:created>
  <dcterms:modified xsi:type="dcterms:W3CDTF">2019-04-05T10:08:00Z</dcterms:modified>
</cp:coreProperties>
</file>